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CC002"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724925A3" w14:textId="2C078D00" w:rsidR="007302D7" w:rsidRPr="007302D7" w:rsidRDefault="001669BD" w:rsidP="007302D7">
      <w:pPr>
        <w:jc w:val="both"/>
        <w:rPr>
          <w:b/>
          <w:bCs/>
          <w:color w:val="0070C0"/>
        </w:rPr>
      </w:pPr>
      <w:r w:rsidRPr="00D00A38">
        <w:rPr>
          <w:rFonts w:asciiTheme="minorHAnsi" w:hAnsiTheme="minorHAnsi" w:cstheme="minorHAnsi"/>
          <w:b/>
          <w:bCs/>
          <w:color w:val="0070C0"/>
        </w:rPr>
        <w:t xml:space="preserve">Anexa </w:t>
      </w:r>
      <w:r>
        <w:rPr>
          <w:rFonts w:asciiTheme="minorHAnsi" w:hAnsiTheme="minorHAnsi" w:cstheme="minorHAnsi"/>
          <w:b/>
          <w:bCs/>
          <w:color w:val="0070C0"/>
        </w:rPr>
        <w:t>6 b</w:t>
      </w:r>
      <w:r w:rsidRPr="00247861">
        <w:rPr>
          <w:b/>
          <w:bCs/>
          <w:color w:val="0070C0"/>
        </w:rPr>
        <w:t xml:space="preserve">) </w:t>
      </w:r>
      <w:r w:rsidR="007302D7" w:rsidRPr="007302D7">
        <w:rPr>
          <w:b/>
          <w:bCs/>
          <w:color w:val="0070C0"/>
        </w:rPr>
        <w:t>la Ghidul Solicitantului - pentru acțiunea „Dezvoltarea întreprinderilor și a antreprenoriatului” – componenta „</w:t>
      </w:r>
      <w:r w:rsidR="00247861" w:rsidRPr="00247861">
        <w:rPr>
          <w:b/>
          <w:bCs/>
          <w:color w:val="0070C0"/>
        </w:rPr>
        <w:t>Sprijin pentru creșterea durabilă a microîntreprinderilor și crearea de locuri de muncă</w:t>
      </w:r>
      <w:r w:rsidR="007302D7" w:rsidRPr="007302D7">
        <w:rPr>
          <w:b/>
          <w:bCs/>
          <w:color w:val="0070C0"/>
        </w:rPr>
        <w:t xml:space="preserve">” din cadrul </w:t>
      </w:r>
      <w:r w:rsidR="002C3AF1" w:rsidRPr="002C3AF1">
        <w:rPr>
          <w:b/>
          <w:bCs/>
          <w:color w:val="0070C0"/>
        </w:rPr>
        <w:t>Programului Tranziție Justă 2021 – 2027</w:t>
      </w:r>
    </w:p>
    <w:p w14:paraId="336362AF" w14:textId="7B35E0F6" w:rsidR="001669BD" w:rsidRPr="00D00A38" w:rsidRDefault="001669BD" w:rsidP="001669BD">
      <w:pPr>
        <w:jc w:val="right"/>
        <w:rPr>
          <w:rFonts w:asciiTheme="minorHAnsi" w:hAnsiTheme="minorHAnsi" w:cstheme="minorHAnsi"/>
          <w:b/>
          <w:bCs/>
          <w:color w:val="0070C0"/>
        </w:rPr>
      </w:pPr>
    </w:p>
    <w:p w14:paraId="50E46947"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66848F0B" w14:textId="0EBF030B"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Listă 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4171A711" w14:textId="7B2B4FDB" w:rsidR="00BA3973" w:rsidRPr="005930FD" w:rsidRDefault="005930FD" w:rsidP="00BA3973">
      <w:pPr>
        <w:pStyle w:val="Heading3"/>
        <w:numPr>
          <w:ilvl w:val="0"/>
          <w:numId w:val="0"/>
        </w:numPr>
        <w:ind w:left="720" w:hanging="720"/>
        <w:jc w:val="center"/>
        <w:rPr>
          <w:rFonts w:ascii="Times New Roman" w:hAnsi="Times New Roman" w:cs="Times New Roman"/>
          <w:b w:val="0"/>
          <w:sz w:val="28"/>
          <w:szCs w:val="28"/>
        </w:rPr>
      </w:pPr>
      <w:r w:rsidRPr="005930FD">
        <w:rPr>
          <w:rFonts w:ascii="Times New Roman" w:hAnsi="Times New Roman" w:cs="Times New Roman"/>
          <w:b w:val="0"/>
          <w:sz w:val="28"/>
          <w:szCs w:val="28"/>
        </w:rPr>
        <w:t>Îndrumări metodologice</w:t>
      </w:r>
    </w:p>
    <w:p w14:paraId="1F97E906" w14:textId="13E69AAD"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w:t>
      </w:r>
      <w:r w:rsidR="00247861">
        <w:rPr>
          <w:rFonts w:ascii="Times New Roman" w:hAnsi="Times New Roman" w:cs="Times New Roman"/>
          <w:sz w:val="24"/>
        </w:rPr>
        <w:t xml:space="preserve">nr. </w:t>
      </w:r>
      <w:r w:rsidR="00BA3973" w:rsidRPr="005930FD">
        <w:rPr>
          <w:rFonts w:ascii="Times New Roman" w:hAnsi="Times New Roman" w:cs="Times New Roman"/>
          <w:sz w:val="24"/>
        </w:rPr>
        <w:t xml:space="preserve">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Significant Harm”)</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 xml:space="preserve">mentului (UE) </w:t>
      </w:r>
      <w:r w:rsidR="00247861">
        <w:rPr>
          <w:rFonts w:ascii="Times New Roman" w:hAnsi="Times New Roman" w:cs="Times New Roman"/>
          <w:sz w:val="24"/>
        </w:rPr>
        <w:t xml:space="preserve">nr. </w:t>
      </w:r>
      <w:r w:rsidR="002B708B" w:rsidRPr="005930FD">
        <w:rPr>
          <w:rFonts w:ascii="Times New Roman" w:hAnsi="Times New Roman" w:cs="Times New Roman"/>
          <w:sz w:val="24"/>
        </w:rPr>
        <w:t>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w:t>
      </w:r>
      <w:r w:rsidRPr="005930FD">
        <w:rPr>
          <w:rFonts w:ascii="Times New Roman" w:hAnsi="Times New Roman"/>
          <w:i/>
          <w:sz w:val="24"/>
          <w:szCs w:val="24"/>
        </w:rPr>
        <w:lastRenderedPageBreak/>
        <w:t>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24749186"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 xml:space="preserve">prin care să dovedească faptul că activitățile legate de pregătirea și de implementarea proiectului, lucrările, serviciile și/sau dotările prevăzute în cadrul acestuia, precum și activitățile aferente </w:t>
      </w:r>
      <w:r w:rsidR="00247861">
        <w:rPr>
          <w:rFonts w:ascii="Times New Roman" w:hAnsi="Times New Roman"/>
          <w:sz w:val="24"/>
          <w:szCs w:val="24"/>
        </w:rPr>
        <w:t>domeniilor de activitate</w:t>
      </w:r>
      <w:r w:rsidRPr="00BC4661">
        <w:rPr>
          <w:rFonts w:ascii="Times New Roman" w:hAnsi="Times New Roman"/>
          <w:sz w:val="24"/>
          <w:szCs w:val="24"/>
        </w:rPr>
        <w:t xml:space="preserve">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26FF8498"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şi private asupra mediului</w:t>
      </w:r>
      <w:r w:rsidR="008658FE" w:rsidRPr="005930FD">
        <w:t>, cor</w:t>
      </w:r>
      <w:r w:rsidR="00247861">
        <w:t>o</w:t>
      </w:r>
      <w:r w:rsidR="008658FE" w:rsidRPr="005930FD">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t>.</w:t>
      </w:r>
    </w:p>
    <w:p w14:paraId="50582FD4" w14:textId="3A77CBAC" w:rsidR="008F41C6" w:rsidRPr="005930FD" w:rsidRDefault="008462A5" w:rsidP="008F41C6">
      <w:pPr>
        <w:pStyle w:val="Default"/>
        <w:jc w:val="both"/>
      </w:pPr>
      <w:r w:rsidRPr="005930FD">
        <w:t xml:space="preserve">În cazul în care </w:t>
      </w:r>
      <w:r w:rsidR="008F41C6" w:rsidRPr="005930FD">
        <w:t xml:space="preserve">activitatea nu este vizată de pragurile ETS (Directiva </w:t>
      </w:r>
      <w:r w:rsidR="00247861">
        <w:t xml:space="preserve">nr. </w:t>
      </w:r>
      <w:r w:rsidR="008F41C6" w:rsidRPr="005930FD">
        <w:t>2003/87/CE a Parlamentului European și a Consiliului din 13 octombrie 2003 de stabilire a unui sistem de comercializare a cotelor de emisie de gaze cu efect de seră în cadrul Comunității și de modificare a Directivei</w:t>
      </w:r>
      <w:r w:rsidR="00247861">
        <w:t xml:space="preserve"> nr.</w:t>
      </w:r>
      <w:r w:rsidR="008F41C6" w:rsidRPr="005930FD">
        <w:t xml:space="preserve">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w:t>
      </w:r>
      <w:r w:rsidR="00943667" w:rsidRPr="005930FD">
        <w:lastRenderedPageBreak/>
        <w:t>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20CD58F5"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şi private asupra mediului, cor</w:t>
      </w:r>
      <w:r w:rsidR="00084258">
        <w:rPr>
          <w:rFonts w:ascii="Times New Roman" w:hAnsi="Times New Roman"/>
          <w:sz w:val="24"/>
          <w:szCs w:val="24"/>
        </w:rPr>
        <w:t>o</w:t>
      </w:r>
      <w:r w:rsidR="00805415" w:rsidRPr="00805415">
        <w:rPr>
          <w:rFonts w:ascii="Times New Roman" w:hAnsi="Times New Roman"/>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247861">
        <w:rPr>
          <w:rFonts w:ascii="Times New Roman" w:hAnsi="Times New Roman"/>
          <w:sz w:val="24"/>
          <w:szCs w:val="24"/>
        </w:rPr>
        <w:t>.</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3ED5B8FA"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w:t>
      </w:r>
      <w:r w:rsidR="00247861">
        <w:rPr>
          <w:rFonts w:ascii="Times New Roman" w:eastAsiaTheme="minorHAnsi" w:hAnsi="Times New Roman"/>
          <w:color w:val="000000"/>
          <w:sz w:val="24"/>
          <w:szCs w:val="24"/>
        </w:rPr>
        <w:t xml:space="preserve">domeniul de activitate </w:t>
      </w:r>
      <w:r w:rsidR="003A3F0E" w:rsidRPr="005930FD">
        <w:rPr>
          <w:rFonts w:ascii="Times New Roman" w:eastAsiaTheme="minorHAnsi" w:hAnsi="Times New Roman"/>
          <w:color w:val="000000"/>
          <w:sz w:val="24"/>
          <w:szCs w:val="24"/>
        </w:rPr>
        <w:t>respectiv,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5ECBCF8F"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w:t>
      </w:r>
      <w:r w:rsidR="00247861">
        <w:rPr>
          <w:rFonts w:ascii="Times New Roman" w:hAnsi="Times New Roman"/>
          <w:sz w:val="24"/>
          <w:szCs w:val="24"/>
        </w:rPr>
        <w:t xml:space="preserve">nr. </w:t>
      </w:r>
      <w:r w:rsidRPr="005930FD">
        <w:rPr>
          <w:rFonts w:ascii="Times New Roman" w:hAnsi="Times New Roman"/>
          <w:sz w:val="24"/>
          <w:szCs w:val="24"/>
        </w:rPr>
        <w:t xml:space="preserve">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w:t>
      </w:r>
      <w:r w:rsidRPr="005930FD">
        <w:rPr>
          <w:rFonts w:ascii="Times New Roman" w:hAnsi="Times New Roman"/>
          <w:sz w:val="24"/>
          <w:szCs w:val="24"/>
        </w:rPr>
        <w:lastRenderedPageBreak/>
        <w:t>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6174E77D"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Pr>
          <w:rFonts w:ascii="Times New Roman" w:hAnsi="Times New Roman"/>
          <w:sz w:val="24"/>
          <w:szCs w:val="24"/>
        </w:rPr>
        <w:t xml:space="preserve">domeniul de activitate </w:t>
      </w:r>
      <w:r w:rsidRPr="005930FD">
        <w:rPr>
          <w:rFonts w:ascii="Times New Roman" w:hAnsi="Times New Roman"/>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CE18618"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 xml:space="preserve">lucrările aferente proiectului vor fi realizate cu utilaje mai puțin </w:t>
      </w:r>
      <w:r w:rsidRPr="005930FD">
        <w:rPr>
          <w:rFonts w:ascii="Times New Roman" w:hAnsi="Times New Roman"/>
          <w:sz w:val="24"/>
          <w:szCs w:val="24"/>
        </w:rPr>
        <w:lastRenderedPageBreak/>
        <w:t>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r w:rsidR="00247861">
        <w:rPr>
          <w:rFonts w:ascii="Times New Roman" w:hAnsi="Times New Roman"/>
          <w:sz w:val="24"/>
          <w:szCs w:val="24"/>
        </w:rPr>
        <w:t>.</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5C0961BA"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w:t>
      </w:r>
      <w:r w:rsidR="00247861">
        <w:rPr>
          <w:rFonts w:ascii="Times New Roman" w:hAnsi="Times New Roman"/>
          <w:sz w:val="24"/>
          <w:szCs w:val="24"/>
        </w:rPr>
        <w:t xml:space="preserve"> nr.</w:t>
      </w:r>
      <w:r w:rsidRPr="005930FD">
        <w:rPr>
          <w:rFonts w:ascii="Times New Roman" w:hAnsi="Times New Roman"/>
          <w:sz w:val="24"/>
          <w:szCs w:val="24"/>
        </w:rPr>
        <w:t xml:space="preserve"> 2019/1021 al Parlamentului European și al Consiliului, cu excepția cazului în care substanțele sunt prezente ca urme neintenționate de contaminant;</w:t>
      </w:r>
    </w:p>
    <w:p w14:paraId="721FDFA5" w14:textId="5EA350C6"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w:t>
      </w:r>
      <w:r w:rsidR="00247861">
        <w:rPr>
          <w:rFonts w:ascii="Times New Roman" w:hAnsi="Times New Roman"/>
          <w:sz w:val="24"/>
          <w:szCs w:val="24"/>
        </w:rPr>
        <w:t xml:space="preserve"> nr.</w:t>
      </w:r>
      <w:r w:rsidRPr="005930FD">
        <w:rPr>
          <w:rFonts w:ascii="Times New Roman" w:hAnsi="Times New Roman"/>
          <w:sz w:val="24"/>
          <w:szCs w:val="24"/>
        </w:rPr>
        <w:t xml:space="preserv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5CCF13C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Hotărârii nr. 322/2013 privind restricţiile de utilizare a anumitor substanţe periculoase în echipamentele electrice şi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6E74FBFF"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w:t>
      </w:r>
      <w:r w:rsidR="00247861">
        <w:rPr>
          <w:rFonts w:ascii="Times New Roman" w:hAnsi="Times New Roman"/>
          <w:sz w:val="24"/>
          <w:szCs w:val="24"/>
        </w:rPr>
        <w:t xml:space="preserve"> nr.</w:t>
      </w:r>
      <w:r w:rsidRPr="005930FD">
        <w:rPr>
          <w:rFonts w:ascii="Times New Roman" w:hAnsi="Times New Roman"/>
          <w:sz w:val="24"/>
          <w:szCs w:val="24"/>
        </w:rPr>
        <w:t xml:space="preserv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65D715F9"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w:t>
      </w:r>
      <w:r w:rsidR="00247861">
        <w:rPr>
          <w:rFonts w:ascii="Times New Roman" w:hAnsi="Times New Roman"/>
          <w:sz w:val="24"/>
          <w:szCs w:val="24"/>
        </w:rPr>
        <w:t xml:space="preserve">nr. </w:t>
      </w:r>
      <w:r w:rsidRPr="005930FD">
        <w:rPr>
          <w:rFonts w:ascii="Times New Roman" w:hAnsi="Times New Roman"/>
          <w:sz w:val="24"/>
          <w:szCs w:val="24"/>
        </w:rPr>
        <w:t>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şi gestionarea zgomotului ambiant, cu modificările și completările ulterioare</w:t>
      </w:r>
      <w:r w:rsidRPr="005930FD">
        <w:rPr>
          <w:rFonts w:ascii="Times New Roman" w:hAnsi="Times New Roman"/>
          <w:sz w:val="24"/>
          <w:szCs w:val="24"/>
        </w:rPr>
        <w:t xml:space="preserve">. </w:t>
      </w:r>
    </w:p>
    <w:p w14:paraId="0F06195B" w14:textId="2BF8BCE5"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lastRenderedPageBreak/>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Pr>
          <w:rFonts w:ascii="Times New Roman" w:hAnsi="Times New Roman"/>
          <w:sz w:val="24"/>
          <w:szCs w:val="24"/>
        </w:rPr>
        <w:t>domeniul de activitate</w:t>
      </w:r>
      <w:r w:rsidRPr="005930FD">
        <w:rPr>
          <w:rFonts w:ascii="Times New Roman" w:hAnsi="Times New Roman"/>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46CC5" w14:textId="77777777" w:rsidR="00E076C4" w:rsidRDefault="00E076C4" w:rsidP="000D0039">
      <w:r>
        <w:separator/>
      </w:r>
    </w:p>
  </w:endnote>
  <w:endnote w:type="continuationSeparator" w:id="0">
    <w:p w14:paraId="646AF3B8" w14:textId="77777777" w:rsidR="00E076C4" w:rsidRDefault="00E076C4"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27E1C" w14:textId="77777777" w:rsidR="00E076C4" w:rsidRDefault="00E076C4" w:rsidP="000D0039">
      <w:r>
        <w:separator/>
      </w:r>
    </w:p>
  </w:footnote>
  <w:footnote w:type="continuationSeparator" w:id="0">
    <w:p w14:paraId="4709B825" w14:textId="77777777" w:rsidR="00E076C4" w:rsidRDefault="00E076C4"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5337"/>
      <w:gridCol w:w="1451"/>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7777777" w:rsidR="00B529FD" w:rsidRPr="008A11D8" w:rsidRDefault="00B529FD" w:rsidP="00B529FD">
          <w:pPr>
            <w:pStyle w:val="Header"/>
            <w:spacing w:line="276" w:lineRule="auto"/>
            <w:rPr>
              <w:rFonts w:ascii="Times New Roman" w:hAnsi="Times New Roman"/>
              <w:b/>
              <w:lang w:val="en-US"/>
            </w:rPr>
          </w:pPr>
        </w:p>
      </w:tc>
      <w:tc>
        <w:tcPr>
          <w:tcW w:w="1451" w:type="dxa"/>
          <w:tcBorders>
            <w:left w:val="single" w:sz="2" w:space="0" w:color="3494BA" w:themeColor="accent1"/>
          </w:tcBorders>
        </w:tcPr>
        <w:p w14:paraId="2DC367D7" w14:textId="77777777" w:rsidR="00B529FD" w:rsidRPr="008A11D8" w:rsidRDefault="00B529FD" w:rsidP="00B529FD">
          <w:pPr>
            <w:pStyle w:val="Header"/>
            <w:spacing w:line="276" w:lineRule="auto"/>
            <w:rPr>
              <w:rFonts w:ascii="Times New Roman" w:hAnsi="Times New Roman"/>
              <w:b/>
              <w:color w:val="3494BA" w:themeColor="accent1"/>
              <w:spacing w:val="-20"/>
              <w:lang w:val="en-US"/>
            </w:rPr>
          </w:pPr>
          <w:r w:rsidRPr="008A11D8">
            <w:rPr>
              <w:rFonts w:ascii="Times New Roman" w:hAnsi="Times New Roman"/>
              <w:b/>
              <w:color w:val="3494BA" w:themeColor="accent1"/>
              <w:spacing w:val="-20"/>
              <w:lang w:val="en-US"/>
            </w:rPr>
            <w:t>PROGRAMUL</w:t>
          </w:r>
        </w:p>
        <w:p w14:paraId="3C7370BB" w14:textId="77777777" w:rsidR="00B529FD" w:rsidRPr="008A11D8" w:rsidRDefault="00B529FD" w:rsidP="00B529FD">
          <w:pPr>
            <w:pStyle w:val="Header"/>
            <w:spacing w:line="276" w:lineRule="auto"/>
            <w:rPr>
              <w:rFonts w:ascii="Times New Roman" w:hAnsi="Times New Roman"/>
              <w:b/>
              <w:color w:val="3494BA" w:themeColor="accent1"/>
              <w:spacing w:val="-20"/>
              <w:lang w:val="en-US"/>
            </w:rPr>
          </w:pPr>
          <w:r w:rsidRPr="008A11D8">
            <w:rPr>
              <w:rFonts w:ascii="Times New Roman" w:hAnsi="Times New Roman"/>
              <w:b/>
              <w:color w:val="3494BA" w:themeColor="accent1"/>
              <w:spacing w:val="-20"/>
              <w:lang w:val="en-US"/>
            </w:rPr>
            <w:t>TRANZIȚIE</w:t>
          </w:r>
        </w:p>
        <w:p w14:paraId="33B896AB" w14:textId="77777777" w:rsidR="00B529FD" w:rsidRPr="008A11D8" w:rsidRDefault="00B529FD" w:rsidP="00B529FD">
          <w:pPr>
            <w:pStyle w:val="Header"/>
            <w:spacing w:line="276" w:lineRule="auto"/>
            <w:rPr>
              <w:rFonts w:ascii="Times New Roman" w:hAnsi="Times New Roman"/>
              <w:b/>
              <w:color w:val="3494BA" w:themeColor="accent1"/>
            </w:rPr>
          </w:pPr>
          <w:r w:rsidRPr="008A11D8">
            <w:rPr>
              <w:rFonts w:ascii="Times New Roman" w:hAnsi="Times New Roman"/>
              <w:b/>
              <w:color w:val="3494BA" w:themeColor="accent1"/>
              <w:spacing w:val="-20"/>
            </w:rPr>
            <w:t>JUSTĂ</w:t>
          </w:r>
        </w:p>
      </w:tc>
    </w:tr>
  </w:tbl>
  <w:p w14:paraId="7BB3B992" w14:textId="77777777" w:rsidR="00B529FD" w:rsidRDefault="00B529FD"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8013F"/>
    <w:rsid w:val="00180D10"/>
    <w:rsid w:val="00192477"/>
    <w:rsid w:val="00197A67"/>
    <w:rsid w:val="001B3635"/>
    <w:rsid w:val="001B4C7E"/>
    <w:rsid w:val="001C2D4B"/>
    <w:rsid w:val="001C30DB"/>
    <w:rsid w:val="001C76EC"/>
    <w:rsid w:val="001D4740"/>
    <w:rsid w:val="001E55FC"/>
    <w:rsid w:val="00202A11"/>
    <w:rsid w:val="00205680"/>
    <w:rsid w:val="00226BE6"/>
    <w:rsid w:val="00246B44"/>
    <w:rsid w:val="00247861"/>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C71C1"/>
    <w:rsid w:val="00DD1242"/>
    <w:rsid w:val="00E04916"/>
    <w:rsid w:val="00E05DF9"/>
    <w:rsid w:val="00E076C4"/>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3455</Words>
  <Characters>19697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Lucia Popescu</cp:lastModifiedBy>
  <cp:revision>7</cp:revision>
  <cp:lastPrinted>2023-03-09T15:39:00Z</cp:lastPrinted>
  <dcterms:created xsi:type="dcterms:W3CDTF">2023-08-06T19:12:00Z</dcterms:created>
  <dcterms:modified xsi:type="dcterms:W3CDTF">2023-10-23T19:25:00Z</dcterms:modified>
</cp:coreProperties>
</file>